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493F" w14:textId="77777777" w:rsidR="00D54437" w:rsidRPr="0080416B" w:rsidRDefault="00D54437" w:rsidP="00D54437">
      <w:pPr>
        <w:spacing w:after="0" w:line="240" w:lineRule="auto"/>
        <w:rPr>
          <w:rFonts w:cstheme="minorHAnsi"/>
          <w:sz w:val="12"/>
          <w:szCs w:val="12"/>
        </w:rPr>
      </w:pPr>
      <w:r w:rsidRPr="0080416B">
        <w:rPr>
          <w:rFonts w:cstheme="minorHAnsi"/>
          <w:noProof/>
          <w:lang w:eastAsia="sl-SI"/>
        </w:rPr>
        <w:drawing>
          <wp:inline distT="0" distB="0" distL="0" distR="0" wp14:anchorId="20497A58" wp14:editId="3DE751C5">
            <wp:extent cx="966470" cy="948690"/>
            <wp:effectExtent l="19050" t="0" r="5080" b="0"/>
            <wp:docPr id="2035828910" name="Slika 15" descr="ZNAK ALTERNA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AK ALTERNATIVE1"/>
                    <pic:cNvPicPr>
                      <a:picLocks noChangeAspect="1" noChangeArrowheads="1"/>
                    </pic:cNvPicPr>
                  </pic:nvPicPr>
                  <pic:blipFill>
                    <a:blip r:embed="rId5" cstate="print"/>
                    <a:srcRect/>
                    <a:stretch>
                      <a:fillRect/>
                    </a:stretch>
                  </pic:blipFill>
                  <pic:spPr bwMode="auto">
                    <a:xfrm>
                      <a:off x="0" y="0"/>
                      <a:ext cx="966470" cy="948690"/>
                    </a:xfrm>
                    <a:prstGeom prst="rect">
                      <a:avLst/>
                    </a:prstGeom>
                    <a:noFill/>
                    <a:ln w="9525">
                      <a:noFill/>
                      <a:miter lim="800000"/>
                      <a:headEnd/>
                      <a:tailEnd/>
                    </a:ln>
                  </pic:spPr>
                </pic:pic>
              </a:graphicData>
            </a:graphic>
          </wp:inline>
        </w:drawing>
      </w:r>
      <w:r w:rsidRPr="0080416B">
        <w:rPr>
          <w:rFonts w:cstheme="minorHAnsi"/>
        </w:rPr>
        <w:t xml:space="preserve"> </w:t>
      </w:r>
      <w:r w:rsidRPr="0080416B">
        <w:rPr>
          <w:rFonts w:cstheme="minorHAnsi"/>
          <w:noProof/>
          <w:lang w:eastAsia="sl-SI"/>
        </w:rPr>
        <w:drawing>
          <wp:inline distT="0" distB="0" distL="0" distR="0" wp14:anchorId="6E38B733" wp14:editId="10D9080E">
            <wp:extent cx="4606290" cy="560705"/>
            <wp:effectExtent l="19050" t="0" r="3810" b="0"/>
            <wp:docPr id="206775044" name="Slika 16" descr="neimeno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imenovana"/>
                    <pic:cNvPicPr>
                      <a:picLocks noChangeAspect="1" noChangeArrowheads="1"/>
                    </pic:cNvPicPr>
                  </pic:nvPicPr>
                  <pic:blipFill>
                    <a:blip r:embed="rId6" cstate="print"/>
                    <a:srcRect/>
                    <a:stretch>
                      <a:fillRect/>
                    </a:stretch>
                  </pic:blipFill>
                  <pic:spPr bwMode="auto">
                    <a:xfrm>
                      <a:off x="0" y="0"/>
                      <a:ext cx="4606290" cy="560705"/>
                    </a:xfrm>
                    <a:prstGeom prst="rect">
                      <a:avLst/>
                    </a:prstGeom>
                    <a:noFill/>
                    <a:ln w="9525">
                      <a:noFill/>
                      <a:miter lim="800000"/>
                      <a:headEnd/>
                      <a:tailEnd/>
                    </a:ln>
                  </pic:spPr>
                </pic:pic>
              </a:graphicData>
            </a:graphic>
          </wp:inline>
        </w:drawing>
      </w:r>
    </w:p>
    <w:p w14:paraId="78CCC409" w14:textId="77777777" w:rsidR="00D54437" w:rsidRPr="0080416B" w:rsidRDefault="00D54437" w:rsidP="00D54437">
      <w:pPr>
        <w:spacing w:after="0" w:line="240" w:lineRule="auto"/>
        <w:rPr>
          <w:rFonts w:cstheme="minorHAnsi"/>
        </w:rPr>
      </w:pPr>
    </w:p>
    <w:p w14:paraId="3AA50911" w14:textId="77777777" w:rsidR="00BA1AF2" w:rsidRDefault="00BA1AF2" w:rsidP="00D54437">
      <w:pPr>
        <w:spacing w:after="0" w:line="240" w:lineRule="auto"/>
        <w:jc w:val="both"/>
        <w:rPr>
          <w:b/>
          <w:bCs/>
        </w:rPr>
      </w:pPr>
    </w:p>
    <w:p w14:paraId="1316E566" w14:textId="77777777" w:rsidR="00D54437" w:rsidRDefault="00D54437" w:rsidP="00D54437">
      <w:pPr>
        <w:spacing w:after="0" w:line="240" w:lineRule="auto"/>
        <w:jc w:val="both"/>
        <w:rPr>
          <w:b/>
          <w:bCs/>
        </w:rPr>
      </w:pPr>
    </w:p>
    <w:p w14:paraId="59E9D5A6" w14:textId="77777777" w:rsidR="00D54437" w:rsidRDefault="00D54437" w:rsidP="00D54437">
      <w:pPr>
        <w:spacing w:after="0" w:line="240" w:lineRule="auto"/>
        <w:jc w:val="both"/>
        <w:rPr>
          <w:b/>
          <w:bCs/>
        </w:rPr>
      </w:pPr>
    </w:p>
    <w:p w14:paraId="36E03041" w14:textId="77777777" w:rsidR="00D54437" w:rsidRDefault="00D54437" w:rsidP="00D54437">
      <w:pPr>
        <w:spacing w:after="0" w:line="240" w:lineRule="auto"/>
        <w:jc w:val="both"/>
        <w:rPr>
          <w:b/>
          <w:bCs/>
        </w:rPr>
      </w:pPr>
    </w:p>
    <w:p w14:paraId="764739B8" w14:textId="77777777" w:rsidR="00D54437" w:rsidRDefault="00D54437" w:rsidP="00D54437">
      <w:pPr>
        <w:spacing w:after="0" w:line="240" w:lineRule="auto"/>
        <w:jc w:val="both"/>
        <w:rPr>
          <w:b/>
          <w:bCs/>
        </w:rPr>
      </w:pPr>
    </w:p>
    <w:p w14:paraId="273777BF" w14:textId="409D5865" w:rsidR="005A673B" w:rsidRPr="004B6106" w:rsidRDefault="00411303" w:rsidP="00D54437">
      <w:pPr>
        <w:spacing w:after="0" w:line="240" w:lineRule="auto"/>
        <w:jc w:val="both"/>
        <w:rPr>
          <w:b/>
          <w:bCs/>
        </w:rPr>
      </w:pPr>
      <w:r>
        <w:rPr>
          <w:b/>
          <w:bCs/>
        </w:rPr>
        <w:t xml:space="preserve">Mnenje Slovenske zveze sindikatov Alternativa k predlogu Zakona o izvajanju nekaterih </w:t>
      </w:r>
      <w:r w:rsidR="00A14F7F">
        <w:rPr>
          <w:b/>
          <w:bCs/>
        </w:rPr>
        <w:t>d</w:t>
      </w:r>
      <w:r w:rsidR="005A673B" w:rsidRPr="004B6106">
        <w:rPr>
          <w:b/>
          <w:bCs/>
        </w:rPr>
        <w:t>ržavnih nalog na Pošti Slovenije, d.o.o.</w:t>
      </w:r>
    </w:p>
    <w:p w14:paraId="596AC14B" w14:textId="77777777" w:rsidR="004B6106" w:rsidRDefault="004B6106" w:rsidP="00D54437">
      <w:pPr>
        <w:spacing w:after="0" w:line="240" w:lineRule="auto"/>
        <w:jc w:val="both"/>
      </w:pPr>
    </w:p>
    <w:p w14:paraId="32EB6494" w14:textId="77777777" w:rsidR="00D54437" w:rsidRDefault="00D54437" w:rsidP="00D54437">
      <w:pPr>
        <w:spacing w:after="0" w:line="240" w:lineRule="auto"/>
        <w:jc w:val="both"/>
      </w:pPr>
    </w:p>
    <w:p w14:paraId="05D885A9" w14:textId="77777777" w:rsidR="00D54437" w:rsidRPr="005A673B" w:rsidRDefault="00D54437" w:rsidP="00D54437">
      <w:pPr>
        <w:spacing w:after="0" w:line="240" w:lineRule="auto"/>
        <w:jc w:val="both"/>
      </w:pPr>
    </w:p>
    <w:p w14:paraId="15F9A6D1" w14:textId="6A9D541A" w:rsidR="005A673B" w:rsidRPr="005A673B" w:rsidRDefault="005A673B" w:rsidP="00D54437">
      <w:pPr>
        <w:spacing w:after="0" w:line="240" w:lineRule="auto"/>
        <w:jc w:val="both"/>
      </w:pPr>
      <w:r w:rsidRPr="005A673B">
        <w:t xml:space="preserve">Predlagani Zakon o izvajanju nekaterih državnih nalog na Pošti Slovenije ocenjujem kot dober, potreben in </w:t>
      </w:r>
      <w:r w:rsidR="0011192D">
        <w:t xml:space="preserve">z vidika </w:t>
      </w:r>
      <w:r w:rsidR="00A05D3C">
        <w:t xml:space="preserve">ohranjanja mreže poštnih poslovalnic </w:t>
      </w:r>
      <w:r w:rsidR="00A14F7F">
        <w:t>koriste</w:t>
      </w:r>
      <w:r w:rsidRPr="005A673B">
        <w:t>n</w:t>
      </w:r>
      <w:r w:rsidR="00897827">
        <w:t xml:space="preserve"> zakon</w:t>
      </w:r>
      <w:r w:rsidRPr="005A673B">
        <w:t>. Pravilno prepoznava da je Pošta Slovenije zaradi svoje razvejane mreže, prisotnosti v lokalnem okolju in zaupanja ljudi naravni partner države pri izvajanju javnih storitev, zlasti tam, kjer je potreben osebni stik z državljani. V času, ko so upravne enote preobremenjene, državljani pa pogosto oddaljeni od javnih institucij, zakon ponuja racionalno rešitev, ki je hkrati prijazn</w:t>
      </w:r>
      <w:r w:rsidR="00CB2864">
        <w:t>a</w:t>
      </w:r>
      <w:r w:rsidRPr="005A673B">
        <w:t xml:space="preserve"> do uporabnikov in</w:t>
      </w:r>
      <w:r w:rsidR="008816E6">
        <w:t xml:space="preserve"> </w:t>
      </w:r>
      <w:r w:rsidRPr="005A673B">
        <w:t>učinkovitejša za državo.</w:t>
      </w:r>
    </w:p>
    <w:p w14:paraId="25815DE5" w14:textId="75F9C741" w:rsidR="005A673B" w:rsidRPr="005A673B" w:rsidRDefault="00A820CB" w:rsidP="00D54437">
      <w:pPr>
        <w:spacing w:after="0" w:line="240" w:lineRule="auto"/>
        <w:jc w:val="both"/>
      </w:pPr>
      <w:r>
        <w:t>Predlagani</w:t>
      </w:r>
      <w:r w:rsidR="005A673B" w:rsidRPr="005A673B">
        <w:t xml:space="preserve"> zakon </w:t>
      </w:r>
      <w:r w:rsidR="0034419C">
        <w:t>ponuja</w:t>
      </w:r>
      <w:r w:rsidR="005A673B" w:rsidRPr="005A673B">
        <w:t xml:space="preserve"> priložnost, ki </w:t>
      </w:r>
      <w:r w:rsidR="0072436F">
        <w:t xml:space="preserve">pa </w:t>
      </w:r>
      <w:r w:rsidR="005A673B" w:rsidRPr="005A673B">
        <w:t xml:space="preserve">je ne bi smeli izkoristiti zgolj delno. V številnih evropskih državah pošte že danes opravljajo bistveno širši nabor javnih storitev, kot jih predvideva ta zakon – od upravnih postopkov in identifikacij, do pomoči pri digitalnih storitvah, </w:t>
      </w:r>
      <w:r w:rsidR="0072436F">
        <w:t xml:space="preserve">upravnih, </w:t>
      </w:r>
      <w:r w:rsidR="005A673B" w:rsidRPr="005A673B">
        <w:t>socialnih</w:t>
      </w:r>
      <w:r w:rsidR="00BE2F73">
        <w:t xml:space="preserve"> in tudi </w:t>
      </w:r>
      <w:r w:rsidR="005A673B" w:rsidRPr="005A673B">
        <w:t>zdravstvenih zadevah. Skupna značilnost teh sistemov je, da pošta ne odloča namesto države</w:t>
      </w:r>
      <w:r w:rsidR="009942A4">
        <w:t xml:space="preserve"> in njenih institucij</w:t>
      </w:r>
      <w:r w:rsidR="005A673B" w:rsidRPr="005A673B">
        <w:t>, temveč opravlja operativne naloge v njenem imenu. To je tudi smer, ki jo omogoča in odpira predlagani zakon, zato bi ga morali razumeti kot izhodišče za postopno širitev nabora storitev, ki jih lahko državljani urejajo na poštnih okencih, kar pomeni tudi večjo stabilnost delovnih mest in ohranjanje poštne mreže.</w:t>
      </w:r>
    </w:p>
    <w:p w14:paraId="6EFBD5FB" w14:textId="77777777" w:rsidR="005A673B" w:rsidRPr="005A673B" w:rsidRDefault="005A673B" w:rsidP="00D54437">
      <w:pPr>
        <w:spacing w:after="0" w:line="240" w:lineRule="auto"/>
        <w:jc w:val="both"/>
      </w:pPr>
      <w:r w:rsidRPr="005A673B">
        <w:t>Ob tem pa je nujno odpreti še bistveno pomembnejše vprašanje, brez katerega nobena širitev nalog ne more biti dolgoročno vzdržna – vprašanje financiranja univerzalne poštne storitve. Univerzalna poštna storitev pomeni obveznost države, da vsem prebivalcem zagotovi dostop do osnovnih poštnih storitev pod enakimi pogoji, ne glede na to, ali živijo v mestih ali na podeželju. To vključuje gosto poštno mrežo, redno dostavo, enotne cene in visoke kakovostne standarde. Gre za javni interes, ne za tržno dejavnost.</w:t>
      </w:r>
    </w:p>
    <w:p w14:paraId="4E4CFC70" w14:textId="77777777" w:rsidR="005A673B" w:rsidRPr="005A673B" w:rsidRDefault="005A673B" w:rsidP="00D54437">
      <w:pPr>
        <w:spacing w:after="0" w:line="240" w:lineRule="auto"/>
        <w:jc w:val="both"/>
      </w:pPr>
      <w:r w:rsidRPr="005A673B">
        <w:t>Izvajanje takšne storitve neizogibno povzroča dodatne stroške, ki jih izvajalec v običajnih tržnih razmerah ne bi imel. Temu pravimo neto strošek univerzalne poštne storitve. Ta strošek ne pomeni, da pošta posluje slabo ali z izgubo, temveč da nosi breme obveznosti, ki jih konkurenti nimajo. V večini evropskih držav je to prepoznano kot nepravično breme, ki ga država nadomesti iz proračuna, saj gre za izvajanje javne storitve v njenem interesu.</w:t>
      </w:r>
    </w:p>
    <w:p w14:paraId="7A7D3112" w14:textId="574DB184" w:rsidR="005A673B" w:rsidRPr="005A673B" w:rsidRDefault="005A673B" w:rsidP="00D54437">
      <w:pPr>
        <w:spacing w:after="0" w:line="240" w:lineRule="auto"/>
        <w:jc w:val="both"/>
      </w:pPr>
      <w:r w:rsidRPr="005A673B">
        <w:t xml:space="preserve">V Sloveniji je ta problem urejen neustrezno. Sistem, ki temelji na kompenzacijskem skladu, se v praksi ni izkazal za učinkovitega in ne zagotavlja stabilnega financiranja poštne mreže. Posledica tega je stalni pritisk na zmanjševanje stroškov, zapiranje poslovalnic in iskanje rešitev, ki slabšajo dostopnost storitev za prebivalce, zlasti na ruralnih območjih. Ta usmeritev se dodatno potrjuje tudi v </w:t>
      </w:r>
      <w:r w:rsidR="00861BFD">
        <w:t>uveljavljenih</w:t>
      </w:r>
      <w:r w:rsidRPr="005A673B">
        <w:t xml:space="preserve"> spremembah splošnega akta, ki </w:t>
      </w:r>
      <w:r w:rsidR="00731466">
        <w:t>jih je sprejela</w:t>
      </w:r>
      <w:r w:rsidRPr="005A673B">
        <w:t xml:space="preserve"> Agencija za komunikacijska omrežja in storitve Republike Slovenije (AKOS), in ki gredo v smer zniževanja kakovosti poštnih storitev ter relativizacije standardov univerzalne poštne storitve. Namesto da bi država zagotovila financiranje javne storitve, se razprava vse pogosteje preusmerja v zniževanje kakovosti, zmanjševanje števila dostav in nadomeščanje klasičnih poštnih poslovalnic z mobilnimi rešitvami.</w:t>
      </w:r>
    </w:p>
    <w:p w14:paraId="1C7DBA51" w14:textId="1C077CBE" w:rsidR="007427F8" w:rsidRDefault="005A673B" w:rsidP="00D54437">
      <w:pPr>
        <w:spacing w:after="0" w:line="240" w:lineRule="auto"/>
        <w:jc w:val="both"/>
      </w:pPr>
      <w:r w:rsidRPr="005A673B">
        <w:t xml:space="preserve">Takšen pristop je problematičen in kratkoviden. Pomeni postopno opuščanje univerzalne poštne storitve v praksi, čeprav formalno ostaja zapisana v zakonodaji. Pomembno je poudariti, da je na </w:t>
      </w:r>
      <w:r w:rsidRPr="005A673B">
        <w:lastRenderedPageBreak/>
        <w:t>neustreznost obstoječega sistema že izrecno opozorilo Računsko sodišče Republike Slovenije, ki je v revizijskem poročilu, objavljenem decembra 2024, jasno ugotovilo, da sistem financiranja univerzalne poštne storitve ne zagotavlja njene dolgoročne vzdržnosti ter da so potrebne zakonske spremembe. Računsko sodišče je pristojnemu ministrstvu naložilo pripravo popravljalnih ukrepov. Pri tem je treba korektno povedati, da je bila na Ministrstvu za gospodarstvo</w:t>
      </w:r>
      <w:r w:rsidR="00D3307F">
        <w:t xml:space="preserve"> </w:t>
      </w:r>
      <w:r w:rsidRPr="005A673B">
        <w:t>izkazana</w:t>
      </w:r>
      <w:r w:rsidR="00D3307F">
        <w:t xml:space="preserve"> </w:t>
      </w:r>
      <w:r w:rsidRPr="005A673B">
        <w:t xml:space="preserve">pripravljenost za iskanje sistemskih rešitev, vendar do njihove uresničitve ni prišlo zaradi </w:t>
      </w:r>
      <w:r w:rsidR="00E82029">
        <w:t>odklonilnega odnosa</w:t>
      </w:r>
      <w:r w:rsidR="00257F35">
        <w:t xml:space="preserve"> ministrstva za finance.</w:t>
      </w:r>
    </w:p>
    <w:p w14:paraId="6C8AD026" w14:textId="3D728CCE" w:rsidR="005A673B" w:rsidRPr="005A673B" w:rsidRDefault="005A673B" w:rsidP="00D54437">
      <w:pPr>
        <w:spacing w:after="0" w:line="240" w:lineRule="auto"/>
        <w:jc w:val="both"/>
      </w:pPr>
      <w:r w:rsidRPr="005A673B">
        <w:t xml:space="preserve">Mednarodne izkušnje jasno kažejo, da </w:t>
      </w:r>
      <w:r w:rsidR="00CB3066">
        <w:t xml:space="preserve">se posamezne države </w:t>
      </w:r>
      <w:r w:rsidR="00E64D9D">
        <w:t xml:space="preserve">zavedajo pomena ohranjanja razvejanosti poštnih poslovalnic. </w:t>
      </w:r>
      <w:r w:rsidRPr="005A673B">
        <w:t xml:space="preserve"> Na Hrvaškem so univerzalno poštno storitev uredili s stabilnim sofinanciranjem iz državnega proračuna, pri čemer je regulator v preteklih letih neto strošek univerzalne poštne storitve ocenil na približno 12 do 13 milijonov evrov letno. S takšnim modelom so ohranili poštno mrežo, zagotovili dostopnost storitev na celotnem ozemlju države in stabilizirali poslovanje pošte. Pri nas pa je prav tak, v primerjavi z učinki in koristmi razmeroma minoren znesek, še vedno predmet zadržkov, čeprav bi z njim lahko dolgoročno ohranili poštno mrežo, zagotovili poštno pokritost v ruralnih okoljih ter državljanom omogočili kakovostne in dostopne storitve tudi za vse druge naloge države, ki zahtevajo osebno obravnavo na okencih.</w:t>
      </w:r>
    </w:p>
    <w:p w14:paraId="01EC9CBD" w14:textId="122ADCE9" w:rsidR="001F3AA4" w:rsidRDefault="001F3AA4" w:rsidP="00D54437">
      <w:pPr>
        <w:spacing w:after="0" w:line="240" w:lineRule="auto"/>
        <w:jc w:val="both"/>
      </w:pPr>
      <w:r w:rsidRPr="001F3AA4">
        <w:t xml:space="preserve">Zato menim, da bi morala razprava o zakonu o izvajanju državnih nalog na Pošti Slovenije nujno vključevati jasno </w:t>
      </w:r>
      <w:r w:rsidR="00E94048">
        <w:t>zavezo</w:t>
      </w:r>
      <w:r w:rsidRPr="001F3AA4">
        <w:t>, da se sočasno uredi financiranje univerzalne poštne storitve oziroma da se hkrati pripravi in sprejme novela Zakona o poštnih storitvah, ki bo ta problem sistemsko rešila. Brez tega obstaja resna nevarnost, da bo Pošta prevzela nove državne naloge, ne da bi imela zagotovljene stabilne pogoje za ohranjanje poštne mreže in zaposlenih. Ob tem pa je treba posebej opozoriti na očitno nekonsistentnost ravnanj države</w:t>
      </w:r>
      <w:r w:rsidR="00E6439E">
        <w:t>, ko se na</w:t>
      </w:r>
      <w:r w:rsidRPr="001F3AA4">
        <w:t xml:space="preserve"> </w:t>
      </w:r>
      <w:proofErr w:type="spellStart"/>
      <w:r w:rsidRPr="001F3AA4">
        <w:t>na</w:t>
      </w:r>
      <w:proofErr w:type="spellEnd"/>
      <w:r w:rsidRPr="001F3AA4">
        <w:t xml:space="preserve"> eni strani Pošti nalagajo nove naloge v imenu države, na drugi strani pa se z nedavno sprejetim splošnim aktom AKOS-a omogoča zniževanje standardov univerzalne poštne storitve in nadomeščanje klasičnih poštnih poslovalnic z mobilnimi poštami oziroma premičnimi kontaktnimi točkami. S tem se ruši koncept stalne fizične prisotnosti pošte v lokalnem okolju, ki je temelj tako univerzalne poštne storitve kot tudi izvajanja drugih državnih nalog na terenu. Če se bo takšna politika dejansko uresnič</w:t>
      </w:r>
      <w:r w:rsidR="00193A82">
        <w:t>ila</w:t>
      </w:r>
      <w:r w:rsidRPr="001F3AA4">
        <w:t>, se upravičeno postavlja vprašanje, kdo bo ob začetku leta 2028, ko naj bi ta zakon začel veljati, sploh še lahko izvajal naloge države na poštnih okencih. Država namreč ne more hkrati širiti nalog Pošte Slovenije in krčiti poštno mrežo – tak pristop ni vzdržen, ni odgovoren in dolgoročno spodkopava tako kakovost javnih storitev kot zaupanje državljanov. </w:t>
      </w:r>
      <w:r w:rsidR="004B3B58">
        <w:t>Na podlagi navedenega p</w:t>
      </w:r>
      <w:r w:rsidR="00197A7A">
        <w:t>ričakujemo enotno strategijo države</w:t>
      </w:r>
      <w:r w:rsidR="004B3B58">
        <w:t xml:space="preserve"> do</w:t>
      </w:r>
      <w:r w:rsidR="000C19F8">
        <w:t xml:space="preserve"> prihodnjega </w:t>
      </w:r>
      <w:r w:rsidR="00724882">
        <w:t>razvoja</w:t>
      </w:r>
      <w:r w:rsidR="000C19F8">
        <w:t xml:space="preserve"> </w:t>
      </w:r>
      <w:r w:rsidR="00724882">
        <w:t>P</w:t>
      </w:r>
      <w:r w:rsidR="000C19F8">
        <w:t>ošte Slovenije</w:t>
      </w:r>
      <w:r w:rsidR="00197A7A">
        <w:t xml:space="preserve"> in čimprejšnjo spremembo Zakona o poštnih storitvah. </w:t>
      </w:r>
    </w:p>
    <w:p w14:paraId="7808E540" w14:textId="173A9133" w:rsidR="0090661A" w:rsidRPr="001F3AA4" w:rsidRDefault="0090661A" w:rsidP="00D54437">
      <w:pPr>
        <w:spacing w:after="0" w:line="240" w:lineRule="auto"/>
        <w:jc w:val="both"/>
      </w:pPr>
      <w:r>
        <w:t xml:space="preserve">V imenu Slovenske zveze sindikatov Alternativa pozivam poslance državnega zbora, da </w:t>
      </w:r>
      <w:r w:rsidR="0096046F">
        <w:t xml:space="preserve">upoštevajo pomisleke </w:t>
      </w:r>
      <w:r w:rsidR="006A7881">
        <w:t xml:space="preserve">in predloge </w:t>
      </w:r>
      <w:r w:rsidR="0096046F">
        <w:t xml:space="preserve">iz našega mnenja in </w:t>
      </w:r>
      <w:r w:rsidR="003572B7">
        <w:t>jih</w:t>
      </w:r>
      <w:r w:rsidR="0096046F">
        <w:t xml:space="preserve"> upoštevajo pri obravnavi omenjenega zakona. </w:t>
      </w:r>
    </w:p>
    <w:p w14:paraId="6CA33D32" w14:textId="77777777" w:rsidR="00211981" w:rsidRDefault="00211981" w:rsidP="00D54437">
      <w:pPr>
        <w:spacing w:after="0" w:line="240" w:lineRule="auto"/>
        <w:jc w:val="both"/>
      </w:pPr>
    </w:p>
    <w:p w14:paraId="7DA6672B" w14:textId="0DC0AA00" w:rsidR="009C34B6" w:rsidRDefault="009C34B6" w:rsidP="00D54437">
      <w:pPr>
        <w:spacing w:after="0" w:line="240" w:lineRule="auto"/>
        <w:jc w:val="both"/>
      </w:pPr>
    </w:p>
    <w:p w14:paraId="32015063" w14:textId="77777777" w:rsidR="00D54437" w:rsidRDefault="00D54437" w:rsidP="00D54437">
      <w:pPr>
        <w:spacing w:after="0" w:line="240" w:lineRule="auto"/>
        <w:jc w:val="both"/>
      </w:pPr>
    </w:p>
    <w:p w14:paraId="7C54879B" w14:textId="7541149B" w:rsidR="00D54437" w:rsidRDefault="00D54437" w:rsidP="00D54437">
      <w:pPr>
        <w:spacing w:after="0" w:line="240" w:lineRule="auto"/>
        <w:jc w:val="both"/>
      </w:pPr>
      <w:r>
        <w:t>V Ljubljani, 30.01.2026</w:t>
      </w:r>
    </w:p>
    <w:p w14:paraId="76BEE179" w14:textId="77777777" w:rsidR="00D54437" w:rsidRPr="0080416B" w:rsidRDefault="00D54437" w:rsidP="00D54437">
      <w:pPr>
        <w:pStyle w:val="Otevilenseznam"/>
        <w:numPr>
          <w:ilvl w:val="0"/>
          <w:numId w:val="0"/>
        </w:numPr>
        <w:spacing w:after="0" w:line="240" w:lineRule="auto"/>
        <w:ind w:left="360" w:hanging="360"/>
        <w:rPr>
          <w:rFonts w:cstheme="minorHAnsi"/>
          <w:sz w:val="22"/>
          <w:szCs w:val="22"/>
        </w:rPr>
      </w:pPr>
    </w:p>
    <w:p w14:paraId="13DCE468" w14:textId="77777777" w:rsidR="00D54437" w:rsidRPr="0080416B" w:rsidRDefault="00D54437" w:rsidP="00D54437">
      <w:pPr>
        <w:rPr>
          <w:rFonts w:cstheme="minorHAnsi"/>
        </w:rPr>
      </w:pPr>
    </w:p>
    <w:p w14:paraId="1C333097" w14:textId="77777777" w:rsidR="00D54437" w:rsidRPr="0080416B" w:rsidRDefault="00D54437" w:rsidP="00D54437">
      <w:pPr>
        <w:rPr>
          <w:rFonts w:cstheme="minorHAnsi"/>
        </w:rPr>
      </w:pPr>
      <w:r w:rsidRPr="0080416B">
        <w:rPr>
          <w:rFonts w:cstheme="minorHAnsi"/>
          <w:noProof/>
          <w:lang w:eastAsia="sl-SI"/>
        </w:rPr>
        <w:drawing>
          <wp:anchor distT="0" distB="0" distL="114300" distR="114300" simplePos="0" relativeHeight="251659264" behindDoc="1" locked="0" layoutInCell="1" allowOverlap="1" wp14:anchorId="5A573247" wp14:editId="5E30ACBA">
            <wp:simplePos x="0" y="0"/>
            <wp:positionH relativeFrom="column">
              <wp:posOffset>3708400</wp:posOffset>
            </wp:positionH>
            <wp:positionV relativeFrom="paragraph">
              <wp:posOffset>22225</wp:posOffset>
            </wp:positionV>
            <wp:extent cx="1663065" cy="1216025"/>
            <wp:effectExtent l="19050" t="0" r="0" b="0"/>
            <wp:wrapNone/>
            <wp:docPr id="253034837" name="Slika 0" descr="Podpis Zd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Zdenko.jpg"/>
                    <pic:cNvPicPr/>
                  </pic:nvPicPr>
                  <pic:blipFill>
                    <a:blip r:embed="rId7" cstate="print"/>
                    <a:stretch>
                      <a:fillRect/>
                    </a:stretch>
                  </pic:blipFill>
                  <pic:spPr>
                    <a:xfrm>
                      <a:off x="0" y="0"/>
                      <a:ext cx="1663065" cy="1216025"/>
                    </a:xfrm>
                    <a:prstGeom prst="rect">
                      <a:avLst/>
                    </a:prstGeom>
                  </pic:spPr>
                </pic:pic>
              </a:graphicData>
            </a:graphic>
          </wp:anchor>
        </w:drawing>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noProof/>
          <w:lang w:eastAsia="sl-SI"/>
        </w:rPr>
        <w:drawing>
          <wp:anchor distT="0" distB="0" distL="114300" distR="114300" simplePos="0" relativeHeight="251660288" behindDoc="1" locked="0" layoutInCell="1" allowOverlap="1" wp14:anchorId="0C5F3ABC" wp14:editId="3C5CE5A3">
            <wp:simplePos x="0" y="0"/>
            <wp:positionH relativeFrom="column">
              <wp:posOffset>2299527</wp:posOffset>
            </wp:positionH>
            <wp:positionV relativeFrom="paragraph">
              <wp:posOffset>15911</wp:posOffset>
            </wp:positionV>
            <wp:extent cx="1049990" cy="1181819"/>
            <wp:effectExtent l="19050" t="0" r="935" b="0"/>
            <wp:wrapNone/>
            <wp:docPr id="1205891909" name="Slika 2" descr="Žig SZS-Alternativ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g SZS-Alternativa.tif"/>
                    <pic:cNvPicPr/>
                  </pic:nvPicPr>
                  <pic:blipFill>
                    <a:blip r:embed="rId8" cstate="print"/>
                    <a:stretch>
                      <a:fillRect/>
                    </a:stretch>
                  </pic:blipFill>
                  <pic:spPr>
                    <a:xfrm>
                      <a:off x="0" y="0"/>
                      <a:ext cx="1046815" cy="1181819"/>
                    </a:xfrm>
                    <a:prstGeom prst="rect">
                      <a:avLst/>
                    </a:prstGeom>
                  </pic:spPr>
                </pic:pic>
              </a:graphicData>
            </a:graphic>
          </wp:anchor>
        </w:drawing>
      </w:r>
      <w:r w:rsidRPr="0080416B">
        <w:rPr>
          <w:rFonts w:cstheme="minorHAnsi"/>
        </w:rPr>
        <w:tab/>
      </w:r>
      <w:r w:rsidRPr="0080416B">
        <w:rPr>
          <w:rFonts w:cstheme="minorHAnsi"/>
        </w:rPr>
        <w:tab/>
      </w:r>
      <w:r w:rsidRPr="0080416B">
        <w:rPr>
          <w:rFonts w:cstheme="minorHAnsi"/>
        </w:rPr>
        <w:tab/>
        <w:t>Predsednik:</w:t>
      </w:r>
    </w:p>
    <w:p w14:paraId="72DBDD48" w14:textId="77777777" w:rsidR="00D54437" w:rsidRPr="0080416B" w:rsidRDefault="00D54437" w:rsidP="00D54437">
      <w:pPr>
        <w:rPr>
          <w:rFonts w:cstheme="minorHAnsi"/>
        </w:rPr>
      </w:pP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r>
      <w:r w:rsidRPr="0080416B">
        <w:rPr>
          <w:rFonts w:cstheme="minorHAnsi"/>
        </w:rPr>
        <w:tab/>
        <w:t>Zdenko Lorber</w:t>
      </w:r>
    </w:p>
    <w:p w14:paraId="77C4F77B" w14:textId="77777777" w:rsidR="00D54437" w:rsidRPr="0080416B" w:rsidRDefault="00D54437" w:rsidP="00D54437">
      <w:pPr>
        <w:rPr>
          <w:rFonts w:cstheme="minorHAnsi"/>
        </w:rPr>
      </w:pPr>
    </w:p>
    <w:p w14:paraId="178F7D19" w14:textId="77777777" w:rsidR="00D54437" w:rsidRPr="005A673B" w:rsidRDefault="00D54437" w:rsidP="00D54437">
      <w:pPr>
        <w:spacing w:after="0" w:line="240" w:lineRule="auto"/>
        <w:jc w:val="both"/>
      </w:pPr>
    </w:p>
    <w:sectPr w:rsidR="00D54437" w:rsidRPr="005A6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0E220C"/>
    <w:lvl w:ilvl="0">
      <w:start w:val="1"/>
      <w:numFmt w:val="decimal"/>
      <w:pStyle w:val="Otevilenseznam"/>
      <w:lvlText w:val="%1."/>
      <w:lvlJc w:val="left"/>
      <w:pPr>
        <w:tabs>
          <w:tab w:val="num" w:pos="360"/>
        </w:tabs>
        <w:ind w:left="360" w:hanging="360"/>
      </w:pPr>
    </w:lvl>
  </w:abstractNum>
  <w:num w:numId="1" w16cid:durableId="165151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BC"/>
    <w:rsid w:val="000128D6"/>
    <w:rsid w:val="00030357"/>
    <w:rsid w:val="000B2FBD"/>
    <w:rsid w:val="000C19F8"/>
    <w:rsid w:val="000C6F09"/>
    <w:rsid w:val="000D1EBF"/>
    <w:rsid w:val="000D2704"/>
    <w:rsid w:val="0011192D"/>
    <w:rsid w:val="00113B21"/>
    <w:rsid w:val="00193A82"/>
    <w:rsid w:val="00197A7A"/>
    <w:rsid w:val="001F3AA4"/>
    <w:rsid w:val="00211981"/>
    <w:rsid w:val="00236A86"/>
    <w:rsid w:val="00257F35"/>
    <w:rsid w:val="00276687"/>
    <w:rsid w:val="002D48E4"/>
    <w:rsid w:val="00314DC1"/>
    <w:rsid w:val="00317956"/>
    <w:rsid w:val="0034419C"/>
    <w:rsid w:val="003572B7"/>
    <w:rsid w:val="00381625"/>
    <w:rsid w:val="00411303"/>
    <w:rsid w:val="00424CEF"/>
    <w:rsid w:val="00442714"/>
    <w:rsid w:val="00477CA4"/>
    <w:rsid w:val="004B3B58"/>
    <w:rsid w:val="004B6106"/>
    <w:rsid w:val="004C434C"/>
    <w:rsid w:val="005A673B"/>
    <w:rsid w:val="00625A9C"/>
    <w:rsid w:val="0064556C"/>
    <w:rsid w:val="00646654"/>
    <w:rsid w:val="006769F0"/>
    <w:rsid w:val="006A7881"/>
    <w:rsid w:val="0072436F"/>
    <w:rsid w:val="00724882"/>
    <w:rsid w:val="00731466"/>
    <w:rsid w:val="007427F8"/>
    <w:rsid w:val="00770781"/>
    <w:rsid w:val="007A6D9B"/>
    <w:rsid w:val="007C1DB2"/>
    <w:rsid w:val="0083465B"/>
    <w:rsid w:val="00861BFD"/>
    <w:rsid w:val="008748E4"/>
    <w:rsid w:val="008816E6"/>
    <w:rsid w:val="00897827"/>
    <w:rsid w:val="008D0523"/>
    <w:rsid w:val="008F7416"/>
    <w:rsid w:val="0090661A"/>
    <w:rsid w:val="0096046F"/>
    <w:rsid w:val="009942A4"/>
    <w:rsid w:val="009B134B"/>
    <w:rsid w:val="009B27D3"/>
    <w:rsid w:val="009C34B6"/>
    <w:rsid w:val="00A05D3C"/>
    <w:rsid w:val="00A14F7F"/>
    <w:rsid w:val="00A31444"/>
    <w:rsid w:val="00A820CB"/>
    <w:rsid w:val="00A871A6"/>
    <w:rsid w:val="00AF074E"/>
    <w:rsid w:val="00BA1AF2"/>
    <w:rsid w:val="00BC2EB8"/>
    <w:rsid w:val="00BE2F73"/>
    <w:rsid w:val="00CB2864"/>
    <w:rsid w:val="00CB3066"/>
    <w:rsid w:val="00CC7851"/>
    <w:rsid w:val="00CF2CBC"/>
    <w:rsid w:val="00D3307F"/>
    <w:rsid w:val="00D54437"/>
    <w:rsid w:val="00E6439E"/>
    <w:rsid w:val="00E64D9D"/>
    <w:rsid w:val="00E82029"/>
    <w:rsid w:val="00E94048"/>
    <w:rsid w:val="00F25688"/>
    <w:rsid w:val="00FA27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AC6C"/>
  <w15:chartTrackingRefBased/>
  <w15:docId w15:val="{FFA159AD-AE48-49A7-84AB-1F242AF4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F2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F2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F2CB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F2CB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F2CB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F2CB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F2CB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F2CB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F2CB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F2CB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F2CB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F2CB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F2CB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F2CB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F2CB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F2CB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F2CB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F2CBC"/>
    <w:rPr>
      <w:rFonts w:eastAsiaTheme="majorEastAsia" w:cstheme="majorBidi"/>
      <w:color w:val="272727" w:themeColor="text1" w:themeTint="D8"/>
    </w:rPr>
  </w:style>
  <w:style w:type="paragraph" w:styleId="Naslov">
    <w:name w:val="Title"/>
    <w:basedOn w:val="Navaden"/>
    <w:next w:val="Navaden"/>
    <w:link w:val="NaslovZnak"/>
    <w:uiPriority w:val="10"/>
    <w:qFormat/>
    <w:rsid w:val="00CF2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F2CB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F2CB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F2CB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F2CBC"/>
    <w:pPr>
      <w:spacing w:before="160"/>
      <w:jc w:val="center"/>
    </w:pPr>
    <w:rPr>
      <w:i/>
      <w:iCs/>
      <w:color w:val="404040" w:themeColor="text1" w:themeTint="BF"/>
    </w:rPr>
  </w:style>
  <w:style w:type="character" w:customStyle="1" w:styleId="CitatZnak">
    <w:name w:val="Citat Znak"/>
    <w:basedOn w:val="Privzetapisavaodstavka"/>
    <w:link w:val="Citat"/>
    <w:uiPriority w:val="29"/>
    <w:rsid w:val="00CF2CBC"/>
    <w:rPr>
      <w:i/>
      <w:iCs/>
      <w:color w:val="404040" w:themeColor="text1" w:themeTint="BF"/>
    </w:rPr>
  </w:style>
  <w:style w:type="paragraph" w:styleId="Odstavekseznama">
    <w:name w:val="List Paragraph"/>
    <w:basedOn w:val="Navaden"/>
    <w:uiPriority w:val="34"/>
    <w:qFormat/>
    <w:rsid w:val="00CF2CBC"/>
    <w:pPr>
      <w:ind w:left="720"/>
      <w:contextualSpacing/>
    </w:pPr>
  </w:style>
  <w:style w:type="character" w:styleId="Intenzivenpoudarek">
    <w:name w:val="Intense Emphasis"/>
    <w:basedOn w:val="Privzetapisavaodstavka"/>
    <w:uiPriority w:val="21"/>
    <w:qFormat/>
    <w:rsid w:val="00CF2CBC"/>
    <w:rPr>
      <w:i/>
      <w:iCs/>
      <w:color w:val="2F5496" w:themeColor="accent1" w:themeShade="BF"/>
    </w:rPr>
  </w:style>
  <w:style w:type="paragraph" w:styleId="Intenzivencitat">
    <w:name w:val="Intense Quote"/>
    <w:basedOn w:val="Navaden"/>
    <w:next w:val="Navaden"/>
    <w:link w:val="IntenzivencitatZnak"/>
    <w:uiPriority w:val="30"/>
    <w:qFormat/>
    <w:rsid w:val="00CF2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F2CBC"/>
    <w:rPr>
      <w:i/>
      <w:iCs/>
      <w:color w:val="2F5496" w:themeColor="accent1" w:themeShade="BF"/>
    </w:rPr>
  </w:style>
  <w:style w:type="character" w:styleId="Intenzivensklic">
    <w:name w:val="Intense Reference"/>
    <w:basedOn w:val="Privzetapisavaodstavka"/>
    <w:uiPriority w:val="32"/>
    <w:qFormat/>
    <w:rsid w:val="00CF2CBC"/>
    <w:rPr>
      <w:b/>
      <w:bCs/>
      <w:smallCaps/>
      <w:color w:val="2F5496" w:themeColor="accent1" w:themeShade="BF"/>
      <w:spacing w:val="5"/>
    </w:rPr>
  </w:style>
  <w:style w:type="paragraph" w:styleId="Otevilenseznam">
    <w:name w:val="List Number"/>
    <w:basedOn w:val="Navaden"/>
    <w:uiPriority w:val="99"/>
    <w:unhideWhenUsed/>
    <w:rsid w:val="00D54437"/>
    <w:pPr>
      <w:numPr>
        <w:numId w:val="1"/>
      </w:numPr>
      <w:tabs>
        <w:tab w:val="clear" w:pos="360"/>
      </w:tabs>
      <w:spacing w:line="278" w:lineRule="auto"/>
      <w:ind w:left="0" w:firstLine="0"/>
      <w:contextualSpacing/>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1009</Words>
  <Characters>5752</Characters>
  <Application>Microsoft Office Word</Application>
  <DocSecurity>4</DocSecurity>
  <Lines>47</Lines>
  <Paragraphs>13</Paragraphs>
  <ScaleCrop>false</ScaleCrop>
  <Company>Slovenske železnice d.o.o.</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Zdenko</dc:creator>
  <cp:keywords/>
  <dc:description/>
  <cp:lastModifiedBy>Lorber Zdenko</cp:lastModifiedBy>
  <cp:revision>2</cp:revision>
  <dcterms:created xsi:type="dcterms:W3CDTF">2026-01-30T10:12:00Z</dcterms:created>
  <dcterms:modified xsi:type="dcterms:W3CDTF">2026-01-30T10:12:00Z</dcterms:modified>
</cp:coreProperties>
</file>